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C" w:rsidRDefault="00805C6F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A7FB8" w:rsidRDefault="003A7FB8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BA7333" w:rsidRDefault="00BA733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333" w:rsidRPr="00C6694A" w:rsidRDefault="00BA7333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A7333">
        <w:rPr>
          <w:rFonts w:ascii="Times New Roman" w:hAnsi="Times New Roman" w:cs="Times New Roman"/>
          <w:sz w:val="28"/>
          <w:szCs w:val="28"/>
        </w:rPr>
        <w:t>» (далее-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 xml:space="preserve">услуга включает </w:t>
      </w:r>
      <w:proofErr w:type="spellStart"/>
      <w:r w:rsidR="00C32CC8" w:rsidRPr="001444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32CC8" w:rsidRPr="0014449C">
        <w:rPr>
          <w:rFonts w:ascii="Times New Roman" w:hAnsi="Times New Roman" w:cs="Times New Roman"/>
          <w:sz w:val="28"/>
          <w:szCs w:val="28"/>
        </w:rPr>
        <w:t>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8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муниципальной услуги, указывается на официальном сайте,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Pr="00A4254C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услуга включает в себя следующие виды </w:t>
      </w:r>
      <w:proofErr w:type="spellStart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lastRenderedPageBreak/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6B2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4449C" w:rsidRDefault="00FB605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7;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>, 26.01.2009,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1642E3" w:rsidRPr="0014449C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tooltip="&quot;Гражданский кодекс Российской Федерации (часть первая)&quot; от 30.11.1994 N 51-ФЗ (ред. от 22.10.2014)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.11.1</w:t>
      </w:r>
      <w:r w:rsidRPr="0014449C">
        <w:rPr>
          <w:rFonts w:ascii="Times New Roman" w:hAnsi="Times New Roman" w:cs="Times New Roman"/>
          <w:sz w:val="28"/>
          <w:szCs w:val="28"/>
        </w:rPr>
        <w:t>994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51-ФЗ (далее </w:t>
      </w:r>
      <w:r w:rsidR="00F86B24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C7E20" w:rsidRPr="0014449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72340D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804A56" w:rsidRPr="0014449C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4449C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01.01.2007, № 1 (1 ч.), ст. 34, «Российская газета» , № 1, 10.01.2007)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804A56" w:rsidRPr="0014449C" w:rsidRDefault="00804A56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9658F5" w:rsidRPr="0014449C">
        <w:rPr>
          <w:rFonts w:ascii="Times New Roman" w:hAnsi="Times New Roman" w:cs="Times New Roman"/>
          <w:sz w:val="28"/>
          <w:szCs w:val="28"/>
        </w:rPr>
        <w:t xml:space="preserve">закон от 02.05.2006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№ </w:t>
      </w:r>
      <w:r w:rsidR="009658F5" w:rsidRPr="0014449C">
        <w:rPr>
          <w:rFonts w:ascii="Times New Roman" w:hAnsi="Times New Roman" w:cs="Times New Roman"/>
          <w:sz w:val="28"/>
          <w:szCs w:val="28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27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C7E20" w:rsidRPr="0014449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A311E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210-ФЗ) («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168, 30.07.2010;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Федеральный закон от 06.04.2011 N 63-ФЗ (ред. от 28.06.2014) &quot;Об электронной подписи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06.04.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92B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3492B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3492B" w:rsidRPr="0014449C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2011,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15, ст. 2036;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1642E3" w:rsidRPr="0014449C" w:rsidRDefault="00FB605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.06.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25.06.2012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642E3" w:rsidRPr="0014449C" w:rsidRDefault="00FB605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.08.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852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25.08.2012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852)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36, ст. 4903);</w:t>
      </w:r>
      <w:proofErr w:type="gramEnd"/>
    </w:p>
    <w:p w:rsidR="001642E3" w:rsidRPr="0014449C" w:rsidRDefault="00FB605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.01.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2013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33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039F9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33) (</w:t>
      </w:r>
      <w:r w:rsidR="00512452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2013, </w:t>
      </w:r>
      <w:r w:rsidR="00512452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9658F5" w:rsidRPr="0014449C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49C">
        <w:rPr>
          <w:rFonts w:ascii="Times New Roman" w:hAnsi="Times New Roman" w:cs="Times New Roman"/>
          <w:sz w:val="28"/>
          <w:szCs w:val="28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14449C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 xml:space="preserve">25.10.2000 </w:t>
      </w:r>
      <w:r w:rsidR="00804A56" w:rsidRPr="001444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(22 заседание), «Южный Урал», № 243, 22.12.2000, с. 2-4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9764C2" w:rsidRPr="0014449C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4449C" w:rsidRDefault="00FB605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81B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64381B"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.12.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381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1308-п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64381B" w:rsidRPr="0014449C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(«Оренбуржье», №13, 26.01.2012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  <w:r w:rsidR="009764C2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9F" w:rsidRPr="0014449C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08.05.</w:t>
      </w:r>
      <w:r w:rsidRPr="0014449C">
        <w:rPr>
          <w:rFonts w:ascii="Times New Roman" w:hAnsi="Times New Roman" w:cs="Times New Roman"/>
          <w:sz w:val="28"/>
          <w:szCs w:val="28"/>
        </w:rPr>
        <w:t>2007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№ 174-п «Об утверждении правил торговли на розничных рынках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>;</w:t>
      </w:r>
      <w:r w:rsidR="00AA1ADB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37180" w:rsidRPr="0014449C">
        <w:rPr>
          <w:rFonts w:ascii="Times New Roman" w:hAnsi="Times New Roman" w:cs="Times New Roman"/>
          <w:sz w:val="28"/>
          <w:szCs w:val="28"/>
        </w:rPr>
        <w:t>(далее – Постановление от 08.05.</w:t>
      </w:r>
      <w:r w:rsidR="00214641" w:rsidRPr="0014449C">
        <w:rPr>
          <w:rFonts w:ascii="Times New Roman" w:hAnsi="Times New Roman" w:cs="Times New Roman"/>
          <w:sz w:val="28"/>
          <w:szCs w:val="28"/>
        </w:rPr>
        <w:t>2007 № 174-п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AA1ADB" w:rsidRPr="0014449C">
        <w:rPr>
          <w:rFonts w:ascii="Times New Roman" w:hAnsi="Times New Roman" w:cs="Times New Roman"/>
          <w:sz w:val="28"/>
          <w:szCs w:val="28"/>
        </w:rPr>
        <w:t>(«Оренбуржье», № 79, 25.05.2007 (Постановление, Правила (</w:t>
      </w:r>
      <w:proofErr w:type="spellStart"/>
      <w:r w:rsidR="00AA1ADB" w:rsidRPr="001444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A1ADB" w:rsidRPr="0014449C">
        <w:rPr>
          <w:rFonts w:ascii="Times New Roman" w:hAnsi="Times New Roman" w:cs="Times New Roman"/>
          <w:sz w:val="28"/>
          <w:szCs w:val="28"/>
        </w:rPr>
        <w:t>. 1-15.9), «Оренбуржье», № 83, 01.06.2007 (Правила (</w:t>
      </w:r>
      <w:proofErr w:type="spellStart"/>
      <w:r w:rsidR="00AA1ADB" w:rsidRPr="001444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A1ADB" w:rsidRPr="0014449C">
        <w:rPr>
          <w:rFonts w:ascii="Times New Roman" w:hAnsi="Times New Roman" w:cs="Times New Roman"/>
          <w:sz w:val="28"/>
          <w:szCs w:val="28"/>
        </w:rPr>
        <w:t>. 16-19), Приложения к Правилам, Порядок)</w:t>
      </w:r>
      <w:r w:rsidRPr="0014449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A1ADB" w:rsidRPr="0014449C" w:rsidRDefault="00AA1ADB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</w:t>
      </w:r>
      <w:r w:rsidR="00710D28" w:rsidRPr="0014449C">
        <w:rPr>
          <w:rFonts w:ascii="Times New Roman" w:hAnsi="Times New Roman" w:cs="Times New Roman"/>
          <w:sz w:val="28"/>
          <w:szCs w:val="28"/>
        </w:rPr>
        <w:t>.07.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4449C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14449C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14449C">
        <w:rPr>
          <w:rFonts w:ascii="Times New Roman" w:hAnsi="Times New Roman" w:cs="Times New Roman"/>
          <w:sz w:val="28"/>
          <w:szCs w:val="28"/>
        </w:rPr>
        <w:t xml:space="preserve"> http://dit.orb.ru, 18.03.2016);</w:t>
      </w:r>
    </w:p>
    <w:p w:rsidR="00BF31CB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017FA" w:rsidRPr="0014449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7AD6" w:rsidRPr="0014449C">
        <w:rPr>
          <w:rFonts w:ascii="Times New Roman" w:hAnsi="Times New Roman" w:cs="Times New Roman"/>
          <w:sz w:val="28"/>
          <w:szCs w:val="28"/>
        </w:rPr>
        <w:t>Р</w:t>
      </w:r>
      <w:r w:rsidR="009E547A" w:rsidRPr="0014449C">
        <w:rPr>
          <w:rFonts w:ascii="Times New Roman" w:hAnsi="Times New Roman" w:cs="Times New Roman"/>
          <w:sz w:val="28"/>
          <w:szCs w:val="28"/>
        </w:rPr>
        <w:t>егламентом</w:t>
      </w:r>
      <w:r w:rsidR="00BF31CB">
        <w:rPr>
          <w:rFonts w:ascii="Times New Roman" w:hAnsi="Times New Roman" w:cs="Times New Roman"/>
          <w:sz w:val="28"/>
          <w:szCs w:val="28"/>
        </w:rPr>
        <w:t>;</w:t>
      </w:r>
    </w:p>
    <w:p w:rsidR="001642E3" w:rsidRPr="00BA7333" w:rsidRDefault="00BF31CB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 xml:space="preserve">Правовые акты, указанные в настоящем пункте, размещаются на официальном сайте </w:t>
      </w:r>
      <w:r w:rsidR="00565A51" w:rsidRPr="00BA733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A73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 и на Портале</w:t>
      </w:r>
      <w:r w:rsidR="001642E3" w:rsidRPr="00BA7333">
        <w:rPr>
          <w:rFonts w:ascii="Times New Roman" w:hAnsi="Times New Roman" w:cs="Times New Roman"/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40"/>
      <w:bookmarkEnd w:id="9"/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372D0" w:rsidRPr="0014449C" w:rsidRDefault="002A3058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решение о назначении или об избрании</w:t>
      </w:r>
      <w:r w:rsidR="004E677F" w:rsidRPr="0014449C">
        <w:rPr>
          <w:rFonts w:ascii="Times New Roman" w:hAnsi="Times New Roman" w:cs="Times New Roman"/>
          <w:sz w:val="28"/>
          <w:szCs w:val="28"/>
        </w:rPr>
        <w:t>,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4449C" w:rsidRDefault="005372D0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141D6" w:rsidRPr="0014449C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4449C">
        <w:rPr>
          <w:rFonts w:ascii="Times New Roman" w:hAnsi="Times New Roman" w:cs="Times New Roman"/>
          <w:sz w:val="28"/>
          <w:szCs w:val="28"/>
        </w:rPr>
        <w:t>учредительных документов в случае, если верность коп</w:t>
      </w:r>
      <w:r w:rsidR="000017FA" w:rsidRPr="0014449C">
        <w:rPr>
          <w:rFonts w:ascii="Times New Roman" w:hAnsi="Times New Roman" w:cs="Times New Roman"/>
          <w:sz w:val="28"/>
          <w:szCs w:val="28"/>
        </w:rPr>
        <w:t>ий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– доверенность (в случае необходимости);</w:t>
      </w:r>
    </w:p>
    <w:p w:rsidR="001E04AA" w:rsidRPr="0014449C" w:rsidRDefault="002A305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642E3" w:rsidRPr="0014449C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4E677F" w:rsidRPr="0014449C" w:rsidRDefault="004E677F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A23294" w:rsidRPr="0014449C" w:rsidRDefault="00F3351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копии учредительных документов (</w:t>
      </w:r>
      <w:r w:rsidR="00455306" w:rsidRPr="0014449C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>оригинал</w:t>
      </w:r>
      <w:r w:rsidR="00455306" w:rsidRPr="0014449C">
        <w:rPr>
          <w:rFonts w:ascii="Times New Roman" w:hAnsi="Times New Roman" w:cs="Times New Roman"/>
          <w:sz w:val="28"/>
          <w:szCs w:val="28"/>
        </w:rPr>
        <w:t>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A23294" w:rsidRPr="0014449C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назначении физического лица на должность, в соответствии с которым такое лицо обладает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правом действовать от имени юридического лица без доверенности;</w:t>
      </w:r>
    </w:p>
    <w:p w:rsidR="00216044" w:rsidRPr="0014449C" w:rsidRDefault="00216044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</w:t>
      </w:r>
      <w:r w:rsidR="008F5180" w:rsidRPr="0014449C">
        <w:rPr>
          <w:rFonts w:ascii="Times New Roman" w:hAnsi="Times New Roman" w:cs="Times New Roman"/>
          <w:sz w:val="28"/>
          <w:szCs w:val="28"/>
        </w:rPr>
        <w:lastRenderedPageBreak/>
        <w:t>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4449C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01"/>
      <w:bookmarkEnd w:id="14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0"/>
      <w:bookmarkEnd w:id="15"/>
      <w:r w:rsidRPr="0014449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9"/>
      <w:bookmarkEnd w:id="16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0"/>
      <w:bookmarkEnd w:id="17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7"/>
      <w:bookmarkEnd w:id="18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lastRenderedPageBreak/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>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276"/>
      <w:bookmarkStart w:id="22" w:name="Par284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BA73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BA7333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BA7333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BA7333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</w:t>
      </w:r>
      <w:proofErr w:type="spellStart"/>
      <w:r w:rsidRPr="00BA7333">
        <w:rPr>
          <w:rFonts w:ascii="Times New Roman" w:eastAsia="Times New Roman" w:hAnsi="Times New Roman" w:cs="Times New Roman"/>
          <w:sz w:val="28"/>
          <w:szCs w:val="28"/>
        </w:rPr>
        <w:t>предусмотрно</w:t>
      </w:r>
      <w:proofErr w:type="spell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BA7333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7333" w:rsidRPr="00BA7333" w:rsidRDefault="00BA733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BA7333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1642E3" w:rsidRPr="00BA733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89"/>
      <w:bookmarkEnd w:id="23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</w:t>
      </w:r>
      <w:bookmarkStart w:id="24" w:name="_GoBack"/>
      <w:bookmarkEnd w:id="24"/>
      <w:r w:rsidR="001642E3" w:rsidRPr="0014449C">
        <w:rPr>
          <w:rFonts w:ascii="Times New Roman" w:hAnsi="Times New Roman" w:cs="Times New Roman"/>
          <w:sz w:val="28"/>
          <w:szCs w:val="28"/>
        </w:rPr>
        <w:t>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процедур: формирование и направление запросов о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</w:t>
      </w:r>
      <w:r w:rsidR="00BF3A9B" w:rsidRPr="0014449C">
        <w:rPr>
          <w:rFonts w:ascii="Times New Roman" w:hAnsi="Times New Roman" w:cs="Times New Roman"/>
          <w:sz w:val="28"/>
          <w:szCs w:val="28"/>
        </w:rPr>
        <w:lastRenderedPageBreak/>
        <w:t>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631B19" w:rsidRPr="0014449C">
        <w:rPr>
          <w:rFonts w:ascii="Times New Roman" w:hAnsi="Times New Roman" w:cs="Times New Roman"/>
          <w:sz w:val="28"/>
          <w:szCs w:val="28"/>
        </w:rPr>
        <w:lastRenderedPageBreak/>
        <w:t>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</w:t>
      </w:r>
      <w:r w:rsidR="004E6CB6" w:rsidRPr="0014449C">
        <w:rPr>
          <w:rFonts w:ascii="Times New Roman" w:hAnsi="Times New Roman" w:cs="Times New Roman"/>
          <w:sz w:val="28"/>
          <w:szCs w:val="28"/>
        </w:rPr>
        <w:lastRenderedPageBreak/>
        <w:t>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</w:t>
      </w:r>
      <w:r w:rsidR="00F40838" w:rsidRPr="0014449C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</w:t>
      </w:r>
      <w:r w:rsidR="009E3232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2) приём запросов заявителей о предоставлении муниципальной услуги и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муниципальную услугу, в том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44794F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4479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Pr="00A4254C">
        <w:rPr>
          <w:rFonts w:ascii="Times New Roman" w:hAnsi="Times New Roman" w:cs="Times New Roman"/>
          <w:sz w:val="28"/>
          <w:szCs w:val="28"/>
        </w:rPr>
        <w:t>о</w:t>
      </w:r>
      <w:r w:rsidR="008E2882" w:rsidRPr="00A4254C">
        <w:rPr>
          <w:rFonts w:ascii="Times New Roman" w:hAnsi="Times New Roman" w:cs="Times New Roman"/>
          <w:sz w:val="28"/>
          <w:szCs w:val="28"/>
        </w:rPr>
        <w:t>б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8E2882" w:rsidRPr="00A4254C">
        <w:rPr>
          <w:rFonts w:ascii="Times New Roman" w:hAnsi="Times New Roman" w:cs="Times New Roman"/>
          <w:sz w:val="28"/>
          <w:szCs w:val="28"/>
        </w:rPr>
        <w:t>их</w:t>
      </w:r>
      <w:r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Pr="00A4254C">
        <w:rPr>
          <w:rFonts w:ascii="Times New Roman" w:hAnsi="Times New Roman" w:cs="Times New Roman"/>
          <w:sz w:val="28"/>
          <w:szCs w:val="28"/>
        </w:rPr>
        <w:t>решени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й, принятых (осуществленных) в ходе предоставления муниципальной услуги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</w:t>
      </w:r>
      <w:r w:rsidR="008E2882" w:rsidRPr="00A4254C"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A4254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33"/>
      <w:bookmarkEnd w:id="39"/>
      <w:r w:rsidRPr="00A4254C">
        <w:rPr>
          <w:rFonts w:ascii="Times New Roman" w:hAnsi="Times New Roman" w:cs="Times New Roman"/>
          <w:sz w:val="28"/>
          <w:szCs w:val="28"/>
        </w:rPr>
        <w:t xml:space="preserve">5.2. </w:t>
      </w:r>
      <w:r w:rsidR="00380182" w:rsidRPr="00A4254C">
        <w:rPr>
          <w:rFonts w:ascii="Times New Roman" w:hAnsi="Times New Roman" w:cs="Times New Roman"/>
          <w:sz w:val="28"/>
          <w:szCs w:val="28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5.2.1. </w:t>
      </w:r>
      <w:r w:rsidR="00194862" w:rsidRPr="00A4254C">
        <w:rPr>
          <w:rFonts w:ascii="Times New Roman" w:hAnsi="Times New Roman" w:cs="Times New Roman"/>
          <w:sz w:val="28"/>
          <w:szCs w:val="28"/>
        </w:rPr>
        <w:t>Жалоба подаётся в орган местного самоуправления Оренбургской области, предоставляющий услугу, МФЦ либо в орган, являющийся учредителем МФЦ.</w:t>
      </w:r>
    </w:p>
    <w:p w:rsidR="0061564B" w:rsidRPr="00A4254C" w:rsidRDefault="00194862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61564B" w:rsidRPr="00A4254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 администрации 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564B" w:rsidRPr="00A4254C">
        <w:rPr>
          <w:rFonts w:ascii="Times New Roman" w:hAnsi="Times New Roman" w:cs="Times New Roman"/>
          <w:sz w:val="28"/>
          <w:szCs w:val="28"/>
        </w:rPr>
        <w:t>подается в администрацию муниципального образования и рассматривается уполномоченным заместителем главы администрации муниципального образования. Жалоба на решения и (или) действия (бездействие) уполномоченного заместителя главы муниципального образования подается в администрацию муниципального образования и рассматривается главой администрации муниципального образования.</w:t>
      </w:r>
    </w:p>
    <w:p w:rsidR="00194862" w:rsidRPr="00A4254C" w:rsidRDefault="0061564B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Жалоба на 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решение и </w:t>
      </w:r>
      <w:r w:rsidRPr="00A4254C">
        <w:rPr>
          <w:rFonts w:ascii="Times New Roman" w:hAnsi="Times New Roman" w:cs="Times New Roman"/>
          <w:sz w:val="28"/>
          <w:szCs w:val="28"/>
        </w:rPr>
        <w:t>действия (бездействие) глав</w:t>
      </w:r>
      <w:r w:rsidR="0029601B" w:rsidRPr="00A4254C">
        <w:rPr>
          <w:rFonts w:ascii="Times New Roman" w:hAnsi="Times New Roman" w:cs="Times New Roman"/>
          <w:sz w:val="28"/>
          <w:szCs w:val="28"/>
        </w:rPr>
        <w:t>ы</w:t>
      </w:r>
      <w:r w:rsidRPr="00A4254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образования, подается в органы прокуратуры и в суд.</w:t>
      </w:r>
    </w:p>
    <w:p w:rsidR="0029601B" w:rsidRPr="00A4254C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5.3</w:t>
      </w:r>
      <w:r w:rsidR="002A7528" w:rsidRPr="00A4254C">
        <w:rPr>
          <w:rFonts w:ascii="Times New Roman" w:hAnsi="Times New Roman" w:cs="Times New Roman"/>
          <w:sz w:val="28"/>
          <w:szCs w:val="28"/>
        </w:rPr>
        <w:t>.</w:t>
      </w:r>
      <w:r w:rsidRPr="00A4254C">
        <w:rPr>
          <w:rFonts w:ascii="Times New Roman" w:hAnsi="Times New Roman" w:cs="Times New Roman"/>
          <w:sz w:val="28"/>
          <w:szCs w:val="28"/>
        </w:rPr>
        <w:t xml:space="preserve"> Способы информирования заявителей о порядке подачи и 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рассмотрения жалобы, в том числе 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 использованием Портала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2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5.</w:t>
      </w:r>
      <w:r w:rsidR="0029601B" w:rsidRPr="00A4254C">
        <w:rPr>
          <w:rFonts w:ascii="Times New Roman" w:hAnsi="Times New Roman" w:cs="Times New Roman"/>
          <w:sz w:val="28"/>
          <w:szCs w:val="28"/>
        </w:rPr>
        <w:t>3</w:t>
      </w:r>
      <w:r w:rsidRPr="00A4254C">
        <w:rPr>
          <w:rFonts w:ascii="Times New Roman" w:hAnsi="Times New Roman" w:cs="Times New Roman"/>
          <w:sz w:val="28"/>
          <w:szCs w:val="28"/>
        </w:rPr>
        <w:t>.</w:t>
      </w:r>
      <w:r w:rsidR="0029601B" w:rsidRPr="00A4254C">
        <w:rPr>
          <w:rFonts w:ascii="Times New Roman" w:hAnsi="Times New Roman" w:cs="Times New Roman"/>
          <w:sz w:val="28"/>
          <w:szCs w:val="28"/>
        </w:rPr>
        <w:t>1</w:t>
      </w:r>
      <w:r w:rsidRPr="00A4254C">
        <w:rPr>
          <w:rFonts w:ascii="Times New Roman" w:hAnsi="Times New Roman" w:cs="Times New Roman"/>
          <w:sz w:val="28"/>
          <w:szCs w:val="28"/>
        </w:rPr>
        <w:t xml:space="preserve">. </w:t>
      </w:r>
      <w:r w:rsidR="0029601B" w:rsidRPr="00A4254C">
        <w:rPr>
          <w:rFonts w:ascii="Times New Roman" w:hAnsi="Times New Roman" w:cs="Times New Roman"/>
          <w:sz w:val="28"/>
          <w:szCs w:val="28"/>
        </w:rPr>
        <w:t>Информирование  заявителей о пор</w:t>
      </w:r>
      <w:r w:rsidR="00380182" w:rsidRPr="00A4254C">
        <w:rPr>
          <w:rFonts w:ascii="Times New Roman" w:hAnsi="Times New Roman" w:cs="Times New Roman"/>
          <w:sz w:val="28"/>
          <w:szCs w:val="28"/>
        </w:rPr>
        <w:t>я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дке подачи </w:t>
      </w:r>
      <w:r w:rsidR="00380182" w:rsidRPr="00A4254C">
        <w:rPr>
          <w:rFonts w:ascii="Times New Roman" w:hAnsi="Times New Roman" w:cs="Times New Roman"/>
          <w:sz w:val="28"/>
          <w:szCs w:val="28"/>
        </w:rPr>
        <w:t>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муниципальную услугу, на Портале.</w:t>
      </w:r>
    </w:p>
    <w:p w:rsidR="002A7528" w:rsidRPr="00A4254C" w:rsidRDefault="002A7528" w:rsidP="002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2B8B" w:rsidRPr="00A4254C" w:rsidRDefault="002A7528" w:rsidP="002A7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ab/>
        <w:t xml:space="preserve">– Федеральный закон от 27 июля 2010 года № 210-ФЗ «Об организации предоставления </w:t>
      </w:r>
      <w:r w:rsidR="00942B8B" w:rsidRPr="00A4254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:rsidR="002A7528" w:rsidRPr="00A4254C" w:rsidRDefault="00942B8B" w:rsidP="002A7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ab/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82" w:rsidRPr="0029601B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549"/>
      <w:bookmarkStart w:id="41" w:name="Par558"/>
      <w:bookmarkEnd w:id="40"/>
      <w:bookmarkEnd w:id="41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Порядок подачи 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Pr="0014449C" w:rsidRDefault="00E11CD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в электронной форме </w:t>
      </w:r>
      <w:r w:rsidR="002F0B7B" w:rsidRPr="0014449C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направлена по почте,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может быть принята при личном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приеме заявителя.</w:t>
      </w:r>
    </w:p>
    <w:p w:rsidR="000641C7" w:rsidRPr="0014449C" w:rsidRDefault="000641C7" w:rsidP="00064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Жалоба может быть подана заявителем через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 поступлении жалобы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рассмотрение орган в порядке и сроки, которые установлены соглашением о взаимодействии между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органом, предоставляющим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услугу (далее </w:t>
      </w:r>
      <w:r w:rsidR="00240559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3</w:t>
      </w:r>
      <w:r w:rsidR="00E9673B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уполномоченный на их рассмотрение орган в порядке, предусмотренном </w:t>
      </w:r>
      <w:hyperlink w:anchor="Par572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по месту нахождения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F0B7B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="001642E3" w:rsidRPr="0014449C">
        <w:rPr>
          <w:rFonts w:ascii="Times New Roman" w:hAnsi="Times New Roman" w:cs="Times New Roman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6</w:t>
      </w:r>
      <w:r w:rsidR="002658E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tooltip="Федеральный закон от 06.04.2011 N 63-ФЗ (ред. от 28.06.2014) &quot;Об электронной подписи&quot;{КонсультантПлюс}" w:history="1">
        <w:r w:rsidR="001F67BD"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от 06.04.2011                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572"/>
      <w:bookmarkEnd w:id="42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.7.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должностных лиц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должностных лиц,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578"/>
      <w:bookmarkEnd w:id="43"/>
      <w:r w:rsidRPr="0014449C">
        <w:rPr>
          <w:rFonts w:ascii="Times New Roman" w:hAnsi="Times New Roman" w:cs="Times New Roman"/>
          <w:sz w:val="28"/>
          <w:szCs w:val="28"/>
        </w:rPr>
        <w:t>5</w:t>
      </w:r>
      <w:r w:rsidR="00A93217">
        <w:rPr>
          <w:rFonts w:ascii="Times New Roman" w:hAnsi="Times New Roman" w:cs="Times New Roman"/>
          <w:sz w:val="28"/>
          <w:szCs w:val="28"/>
        </w:rPr>
        <w:t>.6</w:t>
      </w:r>
      <w:r w:rsidRPr="0014449C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.1.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 w:rsidR="00E9673B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должностным лицом, наделенным полномочиями по рассмотрению жалоб, в течение 15 рабочих дней со дня 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ё </w:t>
      </w:r>
      <w:r w:rsidRPr="0014449C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.2.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11CD1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A1A28" w:rsidRPr="0014449C" w:rsidRDefault="00DA1A28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4" w:name="Par583"/>
      <w:bookmarkEnd w:id="44"/>
    </w:p>
    <w:p w:rsidR="001642E3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Перечень оснований для приостановления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A93217" w:rsidRPr="00A93217" w:rsidRDefault="00A93217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0672E" w:rsidRPr="0014449C">
        <w:rPr>
          <w:rFonts w:ascii="Times New Roman" w:hAnsi="Times New Roman" w:cs="Times New Roman"/>
          <w:sz w:val="28"/>
          <w:szCs w:val="28"/>
        </w:rPr>
        <w:t>предусмотрено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F67BD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596"/>
      <w:bookmarkEnd w:id="45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 Результат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1) удовлетворяет жалобу</w:t>
      </w:r>
      <w:r w:rsidR="005B07B1" w:rsidRPr="0014449C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акта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>3. 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2E3" w:rsidRPr="0014449C" w:rsidRDefault="002F0B7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1642E3" w:rsidRPr="0014449C" w:rsidRDefault="00B271F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 </w:t>
      </w:r>
      <w:r w:rsidR="002F0B7B"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если в жалобе не указан</w:t>
      </w:r>
      <w:r w:rsidR="002F0B7B" w:rsidRPr="0014449C">
        <w:rPr>
          <w:rFonts w:ascii="Times New Roman" w:hAnsi="Times New Roman" w:cs="Times New Roman"/>
          <w:sz w:val="28"/>
          <w:szCs w:val="28"/>
        </w:rPr>
        <w:t>а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</w:t>
      </w:r>
      <w:r w:rsidR="00766A6C" w:rsidRPr="0014449C">
        <w:rPr>
          <w:rFonts w:ascii="Times New Roman" w:hAnsi="Times New Roman" w:cs="Times New Roman"/>
          <w:sz w:val="28"/>
          <w:szCs w:val="28"/>
        </w:rPr>
        <w:t>, ответ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на жалобу не даётся.</w:t>
      </w:r>
    </w:p>
    <w:p w:rsidR="00636616" w:rsidRPr="0014449C" w:rsidRDefault="002F0B7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в жалобе содержатся нецензурные либо оскорбительные </w:t>
      </w:r>
      <w:r w:rsidR="00261284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выражения, угрозы жизни, здоровью и имуществу должностного лица, а также членов его семьи </w:t>
      </w:r>
      <w:r w:rsidR="00766A6C" w:rsidRPr="001444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61284" w:rsidRPr="0014449C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261284" w:rsidRPr="0014449C" w:rsidRDefault="00C9767C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11"/>
      <w:bookmarkEnd w:id="46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 Порядок информирования заявителя о результатах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Не позднее 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.2. В ответе по результатам рассмотрения жалобы указываются:</w:t>
      </w:r>
    </w:p>
    <w:p w:rsidR="001642E3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 w:rsidR="002658EF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 w:rsidR="007118FE" w:rsidRPr="0014449C">
        <w:rPr>
          <w:rFonts w:ascii="Times New Roman" w:hAnsi="Times New Roman" w:cs="Times New Roman"/>
          <w:sz w:val="28"/>
          <w:szCs w:val="28"/>
        </w:rPr>
        <w:t>з</w:t>
      </w:r>
      <w:r w:rsidRPr="0014449C">
        <w:rPr>
          <w:rFonts w:ascii="Times New Roman" w:hAnsi="Times New Roman" w:cs="Times New Roman"/>
          <w:sz w:val="28"/>
          <w:szCs w:val="28"/>
        </w:rPr>
        <w:t>аявителя;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 случае, ес</w:t>
      </w:r>
      <w:r w:rsidRPr="0014449C"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="007118FE" w:rsidRPr="0014449C">
        <w:rPr>
          <w:rFonts w:ascii="Times New Roman" w:hAnsi="Times New Roman" w:cs="Times New Roman"/>
          <w:sz w:val="28"/>
          <w:szCs w:val="28"/>
        </w:rPr>
        <w:t> 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942B8B" w:rsidRPr="0014449C" w:rsidRDefault="007118FE" w:rsidP="00942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.3.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261284" w:rsidRPr="0014449C" w:rsidRDefault="0026128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1284" w:rsidRPr="0014449C" w:rsidRDefault="001642E3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Par626"/>
      <w:bookmarkEnd w:id="47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Право заявителя на получение информации и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документов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1642E3" w:rsidRPr="0014449C" w:rsidRDefault="00261284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="001642E3"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8" w:name="Par633"/>
      <w:bookmarkEnd w:id="48"/>
      <w:r w:rsidRPr="0014449C">
        <w:rPr>
          <w:rFonts w:ascii="Times New Roman" w:hAnsi="Times New Roman" w:cs="Times New Roman"/>
          <w:sz w:val="28"/>
          <w:szCs w:val="28"/>
        </w:rPr>
        <w:t>5.1</w:t>
      </w:r>
      <w:r w:rsidR="00B02A68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. Способы информирования заявителей о порядке подачи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5.1</w:t>
      </w:r>
      <w:r w:rsidR="00B02A68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порядке подачи и рассмотрения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должностных лиц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61284" w:rsidRPr="0014449C">
        <w:rPr>
          <w:rFonts w:ascii="Times New Roman" w:hAnsi="Times New Roman" w:cs="Times New Roman"/>
          <w:sz w:val="28"/>
          <w:szCs w:val="28"/>
        </w:rPr>
        <w:t>, на официальном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67C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ar642"/>
      <w:bookmarkEnd w:id="49"/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858B7" w:rsidRPr="0014449C" w:rsidRDefault="008858B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7333" w:rsidRPr="0014449C" w:rsidRDefault="00BA733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Pr="0014449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50" w:name="Par658"/>
      <w:bookmarkStart w:id="51" w:name="Par706"/>
      <w:bookmarkEnd w:id="50"/>
      <w:bookmarkEnd w:id="51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FB605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FB605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FB605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FB6055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FB6055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FB6055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FB6055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14449C" w:rsidRDefault="004E677F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E677F" w:rsidRPr="0014449C" w:rsidSect="0064743A">
          <w:headerReference w:type="default" r:id="rId19"/>
          <w:pgSz w:w="11906" w:h="16838" w:code="9"/>
          <w:pgMar w:top="284" w:right="566" w:bottom="851" w:left="1418" w:header="284" w:footer="680" w:gutter="0"/>
          <w:cols w:space="708"/>
          <w:titlePg/>
          <w:docGrid w:linePitch="360"/>
        </w:sectPr>
      </w:pPr>
      <w:bookmarkStart w:id="52" w:name="Par779"/>
      <w:bookmarkEnd w:id="52"/>
    </w:p>
    <w:p w:rsidR="00DA46F9" w:rsidRPr="0014449C" w:rsidRDefault="00DA46F9" w:rsidP="00BA73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DA46F9" w:rsidRPr="0014449C" w:rsidSect="004E677F">
      <w:pgSz w:w="16838" w:h="11906" w:orient="landscape" w:code="9"/>
      <w:pgMar w:top="851" w:right="284" w:bottom="567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55" w:rsidRDefault="00FB6055" w:rsidP="00B22C6E">
      <w:pPr>
        <w:spacing w:after="0" w:line="240" w:lineRule="auto"/>
      </w:pPr>
      <w:r>
        <w:separator/>
      </w:r>
    </w:p>
  </w:endnote>
  <w:endnote w:type="continuationSeparator" w:id="0">
    <w:p w:rsidR="00FB6055" w:rsidRDefault="00FB6055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55" w:rsidRDefault="00FB6055" w:rsidP="00B22C6E">
      <w:pPr>
        <w:spacing w:after="0" w:line="240" w:lineRule="auto"/>
      </w:pPr>
      <w:r>
        <w:separator/>
      </w:r>
    </w:p>
  </w:footnote>
  <w:footnote w:type="continuationSeparator" w:id="0">
    <w:p w:rsidR="00FB6055" w:rsidRDefault="00FB6055" w:rsidP="00B22C6E">
      <w:pPr>
        <w:spacing w:after="0" w:line="240" w:lineRule="auto"/>
      </w:pPr>
      <w:r>
        <w:continuationSeparator/>
      </w:r>
    </w:p>
  </w:footnote>
  <w:footnote w:id="1">
    <w:p w:rsidR="00DD61B8" w:rsidRDefault="00DD61B8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9536"/>
      <w:docPartObj>
        <w:docPartGallery w:val="Page Numbers (Top of Page)"/>
        <w:docPartUnique/>
      </w:docPartObj>
    </w:sdtPr>
    <w:sdtEndPr/>
    <w:sdtContent>
      <w:p w:rsidR="00DD61B8" w:rsidRDefault="00DD61B8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3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71D7"/>
    <w:rsid w:val="004E457E"/>
    <w:rsid w:val="004E4A5D"/>
    <w:rsid w:val="004E677F"/>
    <w:rsid w:val="004E6CB6"/>
    <w:rsid w:val="004F07F7"/>
    <w:rsid w:val="004F56CE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71B54"/>
    <w:rsid w:val="00B7696D"/>
    <w:rsid w:val="00B81D0D"/>
    <w:rsid w:val="00B82663"/>
    <w:rsid w:val="00B830B7"/>
    <w:rsid w:val="00BA311E"/>
    <w:rsid w:val="00BA7333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61B8"/>
    <w:rsid w:val="00DE1662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707D"/>
    <w:rsid w:val="00F556A2"/>
    <w:rsid w:val="00F5747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B6055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8E7013986F80C1F42358C01C09B30B4E6036F6D51D4F448B029D8E3D09P3F" TargetMode="External"/><Relationship Id="rId18" Type="http://schemas.openxmlformats.org/officeDocument/2006/relationships/hyperlink" Target="consultantplus://offline/ref=0F8E7013986F80C1F42358C01C09B30B4E6337F6DC1F4F448B029D8E3D9342EDD5A3D954DB31762E01PE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E7013986F80C1F42358C01C09B30B4E6337F6DC1F4F448B029D8E3D09P3F" TargetMode="External"/><Relationship Id="rId17" Type="http://schemas.openxmlformats.org/officeDocument/2006/relationships/hyperlink" Target="mailto:office22@gov.orb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E7013986F80C1F42346CD0A65EC024F6E6CFBD41B4D1AD65DC6D36A9A48BA92EC80169F3C772D1DEDB70EP7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E7013986F80C1F42358C01C09B30B4E6337F5DD1B4F448B029D8E3D9342EDD5A3D954DB31762401P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230F7D9184F448B029D8E3D09P3F" TargetMode="External"/><Relationship Id="rId10" Type="http://schemas.openxmlformats.org/officeDocument/2006/relationships/hyperlink" Target="consultantplus://offline/ref=0F8E7013986F80C1F42358C01C09B30B4E6232F7D91C4F448B029D8E3D09P3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D6D35F3D6481846DA579308PBF" TargetMode="External"/><Relationship Id="rId14" Type="http://schemas.openxmlformats.org/officeDocument/2006/relationships/hyperlink" Target="consultantplus://offline/ref=0F8E7013986F80C1F42358C01C09B30B4E6230F7DA184F448B029D8E3D09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FBB8-6E08-4C39-A0CB-59E1D286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13987</Words>
  <Characters>79729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Усик Елена Владимировна</cp:lastModifiedBy>
  <cp:revision>3</cp:revision>
  <cp:lastPrinted>2018-12-20T08:18:00Z</cp:lastPrinted>
  <dcterms:created xsi:type="dcterms:W3CDTF">2018-12-20T08:21:00Z</dcterms:created>
  <dcterms:modified xsi:type="dcterms:W3CDTF">2018-12-21T09:34:00Z</dcterms:modified>
</cp:coreProperties>
</file>