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55D" w:rsidRPr="0036155D" w:rsidRDefault="0036155D" w:rsidP="0036155D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38"/>
      <w:bookmarkEnd w:id="0"/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АДМИНИСТРАЦИЯ</w:t>
      </w:r>
      <w:r w:rsidRPr="003615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55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2003F">
        <w:rPr>
          <w:rFonts w:ascii="Times New Roman" w:eastAsia="Calibri" w:hAnsi="Times New Roman" w:cs="Times New Roman"/>
          <w:b/>
          <w:sz w:val="28"/>
          <w:szCs w:val="28"/>
        </w:rPr>
        <w:t>СОБОЛЕВСКИЙ</w:t>
      </w:r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     ПЕРВОМАЙСКОГО РАЙОНА </w:t>
      </w:r>
      <w:r w:rsidRPr="0036155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ОРЕНБУРГСКОЙ ОБЛАСТИ   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6155D" w:rsidRPr="0036155D" w:rsidRDefault="0036155D" w:rsidP="0036155D">
      <w:pPr>
        <w:widowControl w:val="0"/>
        <w:tabs>
          <w:tab w:val="left" w:pos="74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Pr="0036155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A57E7C" w:rsidRDefault="00A57E7C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.04.2021   № -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6155D" w:rsidRPr="0036155D" w:rsidTr="00D2003F">
        <w:tc>
          <w:tcPr>
            <w:tcW w:w="5637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bookmarkStart w:id="1" w:name="_GoBack"/>
            <w:r w:rsidRPr="00361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36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  <w:bookmarkEnd w:id="1"/>
          </w:p>
        </w:tc>
        <w:tc>
          <w:tcPr>
            <w:tcW w:w="3934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exact"/>
        <w:ind w:right="409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D2003F">
        <w:rPr>
          <w:rFonts w:ascii="Times New Roman" w:eastAsia="SimSun" w:hAnsi="Times New Roman" w:cs="Times New Roman"/>
          <w:color w:val="00000A"/>
          <w:sz w:val="28"/>
          <w:szCs w:val="28"/>
        </w:rPr>
        <w:t>Соболевский</w:t>
      </w: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Признать утратившим силу постановления администрации муниципального образования </w:t>
      </w:r>
      <w:r w:rsidR="00D2003F">
        <w:rPr>
          <w:rFonts w:ascii="Times New Roman" w:eastAsia="Times New Roman" w:hAnsi="Times New Roman" w:cs="Times New Roman"/>
          <w:color w:val="00000A"/>
          <w:sz w:val="28"/>
          <w:szCs w:val="28"/>
        </w:rPr>
        <w:t>Соболевский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39588F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30.06.2017 № 34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</w:t>
      </w:r>
      <w:r w:rsidR="0039588F">
        <w:rPr>
          <w:rFonts w:ascii="Times New Roman" w:eastAsia="Times New Roman" w:hAnsi="Times New Roman" w:cs="Times New Roman"/>
          <w:color w:val="00000A"/>
          <w:sz w:val="28"/>
          <w:szCs w:val="28"/>
        </w:rPr>
        <w:t>29.06.2018 № 34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-п «О внесении изменений в Административный регламент 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</w:t>
      </w:r>
      <w:r w:rsidR="00D2003F">
        <w:rPr>
          <w:rFonts w:ascii="Times New Roman" w:eastAsia="Times New Roman" w:hAnsi="Times New Roman" w:cs="Times New Roman"/>
          <w:color w:val="00000A"/>
          <w:sz w:val="28"/>
          <w:szCs w:val="28"/>
        </w:rPr>
        <w:t>Соболевский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</w:t>
      </w:r>
      <w:r w:rsidR="0039588F">
        <w:rPr>
          <w:rFonts w:ascii="Times New Roman" w:eastAsia="Times New Roman" w:hAnsi="Times New Roman" w:cs="Times New Roman"/>
          <w:color w:val="00000A"/>
          <w:sz w:val="28"/>
          <w:szCs w:val="28"/>
        </w:rPr>
        <w:t>ргской области от 30.06.2017 № 34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-п».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порядке в соответствии с действующим законодательством и подлежит </w:t>
      </w:r>
      <w:r w:rsidRPr="0036155D">
        <w:rPr>
          <w:rFonts w:ascii="Times New Roman" w:eastAsia="Calibri" w:hAnsi="Times New Roman" w:cs="Times New Roman"/>
          <w:color w:val="00000A"/>
          <w:sz w:val="28"/>
          <w:szCs w:val="28"/>
        </w:rPr>
        <w:t>в информационно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-телекоммуникационной сети Интернет на </w:t>
      </w:r>
      <w:hyperlink r:id="rId6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D2003F">
        <w:rPr>
          <w:rFonts w:ascii="Times New Roman" w:eastAsia="Calibri" w:hAnsi="Times New Roman" w:cs="Times New Roman"/>
          <w:sz w:val="28"/>
          <w:szCs w:val="28"/>
        </w:rPr>
        <w:t>Соболевский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 района 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6155D" w:rsidRPr="0036155D" w:rsidRDefault="00D2003F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Соболевский</w:t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="0039588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6155D" w:rsidRPr="00361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588F">
        <w:rPr>
          <w:rFonts w:ascii="Times New Roman" w:eastAsia="Calibri" w:hAnsi="Times New Roman" w:cs="Times New Roman"/>
          <w:sz w:val="28"/>
          <w:szCs w:val="28"/>
        </w:rPr>
        <w:t>С.Н.Третьяков</w:t>
      </w:r>
      <w:proofErr w:type="spell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155D" w:rsidRPr="0036155D" w:rsidRDefault="00D2003F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Соболевский</w:t>
      </w:r>
      <w:r w:rsidR="0036155D"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.04.2021 № -</w:t>
      </w:r>
      <w:proofErr w:type="gramStart"/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36155D" w:rsidRPr="0036155D" w:rsidRDefault="0036155D" w:rsidP="003615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</w:t>
      </w:r>
      <w:r w:rsidR="00D20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694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</w:t>
      </w:r>
      <w:r w:rsidR="00D2003F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5. Наименование муниципальной услуги: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D2003F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011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7. Муниципальная услуга</w:t>
      </w:r>
      <w:bookmarkEnd w:id="2"/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826"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10. Результатом предоставления муниципальной услуги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36155D" w:rsidRPr="0036155D" w:rsidRDefault="0036155D" w:rsidP="0036155D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left="116" w:right="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 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утверждению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указания о выдаче решения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84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4-х месяцев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в орган местного 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Срок выдачи (направления) документов, являющихся результатом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10-м рабочим </w:t>
      </w:r>
      <w:r w:rsidRPr="0036155D">
        <w:rPr>
          <w:rFonts w:ascii="Times New Roman" w:eastAsia="Calibri" w:hAnsi="Times New Roman" w:cs="Times New Roman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При наличии в заявлении указания о выдаче решения</w:t>
      </w:r>
      <w:r w:rsidRPr="0036155D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акты,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Pr="0036155D">
        <w:rPr>
          <w:rFonts w:ascii="Times New Roman" w:eastAsia="Times New Roman" w:hAnsi="Times New Roman" w:cs="Times New Roman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D2003F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ервомайский-район.рф и на Портале.)*</w:t>
      </w:r>
    </w:p>
    <w:p w:rsidR="0036155D" w:rsidRPr="0036155D" w:rsidRDefault="0036155D" w:rsidP="003615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слуги регулируется: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 № 191-ФЗ «О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(«Российская газета», 08.10.2003, № 202);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7) Федеральным законом от 27.07.2006 № 152-ФЗ «О персональных данных» («Российская газета», 29.07.2006, № 165);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10) Федеральным законом от 06.04.2011 № 63-ФЗ «Об электронной подписи» («Российская газета» 08.04.2011,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11) Законом Оренбургской области от 16.03.2007 № 1037/233-</w:t>
      </w:r>
      <w:r w:rsidRPr="0036155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№ 35) 24.03.2007);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14)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функций и административных регламентов предоставления государственных услуг» («Оренбуржье», № 13, 26.01.2012);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164"/>
      <w:r w:rsidRPr="0036155D">
        <w:rPr>
          <w:rFonts w:ascii="Times New Roman" w:eastAsia="Times New Roman" w:hAnsi="Times New Roman" w:cs="Times New Roman"/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20) приказом департамента информационных технологий Оренбургской области</w:t>
      </w:r>
      <w:bookmarkEnd w:id="3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22) уставом муниципального образования.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  <w:t xml:space="preserve">удостоверяющие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личность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гражданина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(не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требуются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осуществляется в электронном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виде);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копия доверенности (в случае, если заявление подаётся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представителем).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следующими способами: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36155D" w:rsidRPr="0036155D" w:rsidRDefault="0036155D" w:rsidP="0036155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взаимодействии);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электронном виде через Портал, портал адресной системы.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на бумажном носителе в подлинниках либо в виде копий представляются заявителем посредством личного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в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7"/>
      <w:bookmarkEnd w:id="4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16. Запрещается требовать от заявителя: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14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361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Основания для приостановления предоставления муниципальной услуги отсутствуют.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Основания для отказа в предоставлении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несоответствия проекта планировки территории Генеральному </w:t>
      </w:r>
      <w:hyperlink r:id="rId10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плану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образования;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 территориального планирования;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Услуги,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государственная услуга,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36155D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5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36"/>
      <w:bookmarkEnd w:id="5"/>
      <w:r w:rsidRPr="0036155D">
        <w:rPr>
          <w:rFonts w:ascii="Times New Roman" w:eastAsia="Times New Roman" w:hAnsi="Times New Roman" w:cs="Times New Roman"/>
          <w:sz w:val="28"/>
          <w:szCs w:val="28"/>
        </w:rPr>
        <w:t>31.</w:t>
      </w:r>
      <w:bookmarkEnd w:id="6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32. Показателями качества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36155D" w:rsidRPr="0036155D" w:rsidRDefault="0036155D" w:rsidP="0036155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Требования к электронным документам, предоставляемым заявителем для получения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ЭП.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38. Предоставление муниципальной услуги включает в себя выполнение следующих административных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процедур: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заявления и документов, их регистрация;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документов, представленных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услуги);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left="0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39. Данный перечень административных процедур является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исчерпывающим.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40. При предоставлении муниципальной услуги в электронной форме</w:t>
      </w:r>
      <w:r w:rsidRPr="0036155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приём в администрации муниципального образования </w:t>
      </w:r>
      <w:r w:rsidR="00D2003F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формирование запроса;</w:t>
      </w:r>
    </w:p>
    <w:p w:rsidR="0036155D" w:rsidRPr="0036155D" w:rsidRDefault="0036155D" w:rsidP="0036155D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приём  и  регистрация в администрации муниципального образования </w:t>
      </w:r>
      <w:r w:rsidR="00D2003F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запроса 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иных документов, необходимых для предоставления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66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заявления и документов, их регистрация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155D" w:rsidRPr="0036155D" w:rsidRDefault="0036155D" w:rsidP="0036155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42. Специалист, ответственный за приём и регистрацию заявления о предоставлении муниципальной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36155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3615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155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61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2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14 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36155D" w:rsidRPr="0036155D" w:rsidRDefault="0036155D" w:rsidP="0036155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36155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44. Результатом выполнения административной процедуры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91" w:right="13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26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36155D" w:rsidRPr="0036155D" w:rsidRDefault="0036155D" w:rsidP="0036155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36155D" w:rsidRPr="0036155D" w:rsidRDefault="00512B48" w:rsidP="00512B48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48.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="0036155D"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50. Уполномоченные должностные лица осуществляют проверку наличия установленных в пункте 19 настоящего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52.  По результатам проверки уполномоченными должностными лицами принимается решение о: 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документации по планировке территории на утверждение высшему должностному лицу органа местного самоуправления;</w:t>
      </w:r>
    </w:p>
    <w:p w:rsidR="0036155D" w:rsidRPr="0036155D" w:rsidRDefault="0036155D" w:rsidP="0036155D">
      <w:pPr>
        <w:widowControl w:val="0"/>
        <w:autoSpaceDE w:val="0"/>
        <w:autoSpaceDN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и о направлении ее на доработку.</w:t>
      </w:r>
    </w:p>
    <w:p w:rsidR="0036155D" w:rsidRPr="0036155D" w:rsidRDefault="0036155D" w:rsidP="0036155D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обязательное рассмотрение проекта планировки территории на общественных обсуждениях или публичных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слушаниях;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36155D" w:rsidRPr="0036155D" w:rsidRDefault="0036155D" w:rsidP="0036155D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6155D" w:rsidRPr="0036155D" w:rsidRDefault="0036155D" w:rsidP="0036155D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55. Общественные обсуждения или 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</w:t>
      </w:r>
      <w:r w:rsidRPr="00A4427E">
        <w:rPr>
          <w:rFonts w:ascii="Times New Roman" w:eastAsia="Times New Roman" w:hAnsi="Times New Roman" w:cs="Times New Roman"/>
          <w:b/>
          <w:sz w:val="28"/>
          <w:szCs w:val="28"/>
        </w:rPr>
        <w:t>опубликования</w:t>
      </w:r>
      <w:r w:rsidR="00512B48" w:rsidRPr="00A4427E">
        <w:rPr>
          <w:rFonts w:ascii="Times New Roman" w:eastAsia="Times New Roman" w:hAnsi="Times New Roman" w:cs="Times New Roman"/>
          <w:b/>
          <w:sz w:val="28"/>
          <w:szCs w:val="28"/>
        </w:rPr>
        <w:t xml:space="preserve"> (обнародования)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1- ого месяца и более 3-х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месяцев.</w:t>
      </w:r>
      <w:proofErr w:type="gramEnd"/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подготовленную документацию по планировке территории; </w:t>
      </w:r>
    </w:p>
    <w:p w:rsidR="0036155D" w:rsidRPr="0036155D" w:rsidRDefault="0036155D" w:rsidP="0036155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протокол общественных обсуждений или публичных слушаний по проекту планировки территории; 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утверждаемая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осуществлялась подготовка такой документации, в течение 7-и дней со дня ее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Уполномоченные должностные лица обеспечивают </w:t>
      </w:r>
      <w:r w:rsidRPr="00512B48">
        <w:rPr>
          <w:rFonts w:ascii="Times New Roman" w:eastAsia="Times New Roman" w:hAnsi="Times New Roman" w:cs="Times New Roman"/>
          <w:b/>
          <w:sz w:val="28"/>
          <w:szCs w:val="28"/>
        </w:rPr>
        <w:t>опубликование</w:t>
      </w:r>
      <w:r w:rsidR="00512B48" w:rsidRPr="00512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2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12B48" w:rsidRPr="00512B48">
        <w:rPr>
          <w:rFonts w:ascii="Times New Roman" w:eastAsia="Times New Roman" w:hAnsi="Times New Roman" w:cs="Times New Roman"/>
          <w:b/>
          <w:sz w:val="28"/>
          <w:szCs w:val="28"/>
        </w:rPr>
        <w:t>обнародование)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документации по планировке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12B48">
        <w:rPr>
          <w:rFonts w:ascii="Times New Roman" w:eastAsia="Times New Roman" w:hAnsi="Times New Roman" w:cs="Times New Roman"/>
          <w:b/>
          <w:sz w:val="28"/>
          <w:szCs w:val="28"/>
        </w:rPr>
        <w:t>опубликования</w:t>
      </w:r>
      <w:r w:rsidRPr="00512B48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="00A4427E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(обнародования) м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 документации по планировке территории (мотивированного отказа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3-х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60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 (постановления) об утверждении  документации по планировке территории;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8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116"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процедуры) находится представленный им пакет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36155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действия (бездействия)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для заинтересованных лиц об их праве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жалоба заявителя в досудебном (внесудебном) порядке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74. Жалоба подается в орган местного самоуправления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государственную услугу, МФЦ либо в орган, являющийся учредителем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</w:t>
      </w:r>
      <w:r w:rsidR="00BA393A">
        <w:rPr>
          <w:rFonts w:ascii="Times New Roman" w:eastAsia="Times New Roman" w:hAnsi="Times New Roman" w:cs="Times New Roman"/>
          <w:sz w:val="28"/>
          <w:szCs w:val="28"/>
        </w:rPr>
        <w:t>иципальной услуги, на официальном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BA39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BA39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государственные услуги,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76. Федеральный </w:t>
      </w:r>
      <w:hyperlink r:id="rId13" w:history="1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155D" w:rsidRPr="0036155D" w:rsidRDefault="0039588F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36155D" w:rsidRPr="0036155D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16 августа 2012 № 840 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«О порядке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36155D" w:rsidRPr="0036155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>».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77. Административные процедуры (действия), выполняемые МФЦ, описываются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в соглашении о взаимодействии между органом местного самоуправления Оренбургской области и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е) сличает представленные экземпляры оригиналов документов с их копиями (в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и) принимает заявление;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7C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Межведомственные запросы направляет орган местного самоуправления</w:t>
      </w:r>
      <w:proofErr w:type="gramStart"/>
      <w:r w:rsidRPr="00A57E7C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57E7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предоставляющий государственную услугу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6155D" w:rsidRPr="0036155D" w:rsidRDefault="0036155D" w:rsidP="0036155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6155D" w:rsidRPr="0036155D" w:rsidRDefault="0036155D" w:rsidP="0036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6155D" w:rsidRPr="0036155D" w:rsidTr="00D2003F">
        <w:tc>
          <w:tcPr>
            <w:tcW w:w="10320" w:type="dxa"/>
            <w:hideMark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6155D" w:rsidRPr="0036155D" w:rsidTr="00D2003F">
        <w:tc>
          <w:tcPr>
            <w:tcW w:w="10320" w:type="dxa"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лице: (для юридических лиц)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:rsidR="0036155D" w:rsidRPr="0036155D" w:rsidRDefault="0036155D" w:rsidP="003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D4B55" wp14:editId="36B00227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6155D" w:rsidRPr="0036155D" w:rsidRDefault="0036155D" w:rsidP="0036155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hyperlink r:id="rId16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 xml:space="preserve"> статьёй 45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 прошу утвердить документацию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4F58D4" wp14:editId="140F7B82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36155D" w:rsidRPr="0036155D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0" w:lineRule="exact"/>
        <w:ind w:left="111"/>
        <w:rPr>
          <w:rFonts w:ascii="Times New Roman" w:eastAsia="Times New Roman" w:hAnsi="Times New Roman" w:cs="Times New Roman"/>
          <w:sz w:val="2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5C1D70A3" wp14:editId="7076FBC6">
                <wp:extent cx="5791200" cy="6350"/>
                <wp:effectExtent l="9525" t="9525" r="9525" b="317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3737" w:right="695" w:hanging="2322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36155D" w:rsidRPr="0036155D" w:rsidRDefault="0036155D" w:rsidP="0036155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A5BD9D" wp14:editId="3467EC0E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1D79B86" wp14:editId="17760D45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6E7BC47" wp14:editId="232EA9B7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31949E" wp14:editId="191F41A6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F264562" wp14:editId="5A40B6C3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B041D5" wp14:editId="27DA9745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36155D" w:rsidRPr="0036155D" w:rsidRDefault="0036155D" w:rsidP="0036155D">
      <w:pPr>
        <w:widowControl w:val="0"/>
        <w:tabs>
          <w:tab w:val="left" w:pos="1063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17"/>
          <w:szCs w:val="24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36155D" w:rsidRDefault="0036155D" w:rsidP="0036155D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36155D" w:rsidRPr="0036155D" w:rsidRDefault="0036155D" w:rsidP="0036155D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составе: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3127" w:right="1650" w:hanging="1499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36155D" w:rsidRPr="0036155D" w:rsidRDefault="0036155D" w:rsidP="0036155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7E9F488" wp14:editId="3556BD4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A92024" wp14:editId="0242F7DF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36155D" w:rsidRPr="0036155D" w:rsidRDefault="0036155D" w:rsidP="0036155D">
      <w:pPr>
        <w:widowControl w:val="0"/>
        <w:tabs>
          <w:tab w:val="left" w:pos="7076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155D" w:rsidRPr="0036155D" w:rsidRDefault="0036155D" w:rsidP="0036155D">
      <w:pPr>
        <w:widowControl w:val="0"/>
        <w:tabs>
          <w:tab w:val="left" w:pos="9287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proofErr w:type="gramEnd"/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55D" w:rsidRPr="0036155D" w:rsidRDefault="0036155D" w:rsidP="0036155D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left="116" w:right="311" w:firstLine="3541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 органа местного</w:t>
      </w:r>
      <w:r w:rsidRPr="0036155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самоуправления) Приложение: опись прилагаемых к заявлению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листах.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36155D" w:rsidRPr="0036155D" w:rsidTr="00D2003F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36155D" w:rsidRPr="0036155D" w:rsidRDefault="0036155D" w:rsidP="0036155D">
            <w:pPr>
              <w:spacing w:line="204" w:lineRule="exact"/>
              <w:ind w:left="229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(наименование должности руководителя</w:t>
            </w:r>
            <w:proofErr w:type="gramEnd"/>
          </w:p>
          <w:p w:rsidR="0036155D" w:rsidRPr="0036155D" w:rsidRDefault="0036155D" w:rsidP="0036155D">
            <w:pPr>
              <w:spacing w:before="30" w:line="187" w:lineRule="exact"/>
              <w:ind w:left="228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36155D" w:rsidRPr="0036155D" w:rsidRDefault="0036155D" w:rsidP="0036155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36155D" w:rsidRPr="0036155D" w:rsidRDefault="0036155D" w:rsidP="0036155D">
            <w:pPr>
              <w:spacing w:line="204" w:lineRule="exact"/>
              <w:ind w:left="598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личная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64" w:type="dxa"/>
          </w:tcPr>
          <w:p w:rsidR="0036155D" w:rsidRPr="0036155D" w:rsidRDefault="0036155D" w:rsidP="003615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36155D" w:rsidRPr="0036155D" w:rsidRDefault="0036155D" w:rsidP="0036155D">
            <w:pPr>
              <w:spacing w:line="204" w:lineRule="exact"/>
              <w:ind w:left="723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фамилия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инициалы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6155D" w:rsidRPr="0036155D" w:rsidRDefault="0036155D" w:rsidP="0036155D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361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36155D" w:rsidRPr="0036155D" w:rsidRDefault="0036155D" w:rsidP="0036155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pacing w:val="-4"/>
          <w:sz w:val="20"/>
        </w:rPr>
        <w:t>«</w:t>
      </w:r>
      <w:r w:rsidRPr="0036155D">
        <w:rPr>
          <w:rFonts w:ascii="Times New Roman" w:eastAsia="Times New Roman" w:hAnsi="Times New Roman" w:cs="Times New Roman"/>
          <w:spacing w:val="-4"/>
          <w:sz w:val="20"/>
          <w:u w:val="single"/>
        </w:rPr>
        <w:t xml:space="preserve">   </w:t>
      </w:r>
      <w:r w:rsidRPr="0036155D">
        <w:rPr>
          <w:rFonts w:ascii="Times New Roman" w:eastAsia="Times New Roman" w:hAnsi="Times New Roman" w:cs="Times New Roman"/>
          <w:spacing w:val="17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»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0"/>
        </w:rPr>
        <w:t>20</w:t>
      </w:r>
      <w:r w:rsidRPr="0036155D">
        <w:rPr>
          <w:rFonts w:ascii="Times New Roman" w:eastAsia="Times New Roman" w:hAnsi="Times New Roman" w:cs="Times New Roman"/>
          <w:spacing w:val="43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г.</w:t>
      </w:r>
    </w:p>
    <w:p w:rsidR="0036155D" w:rsidRPr="0036155D" w:rsidRDefault="0036155D" w:rsidP="0036155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36155D" w:rsidRPr="0036155D" w:rsidRDefault="0036155D" w:rsidP="0036155D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ind w:left="1619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z w:val="20"/>
        </w:rPr>
        <w:t>(подпись</w:t>
      </w:r>
      <w:r w:rsidRPr="003615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заявителя</w:t>
      </w:r>
      <w:proofErr w:type="gramStart"/>
      <w:r w:rsidRPr="003615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)</w:t>
      </w:r>
      <w:proofErr w:type="gramEnd"/>
      <w:r w:rsidRPr="0036155D">
        <w:rPr>
          <w:rFonts w:ascii="Times New Roman" w:eastAsia="Times New Roman" w:hAnsi="Times New Roman" w:cs="Times New Roman"/>
          <w:sz w:val="20"/>
        </w:rPr>
        <w:tab/>
        <w:t>(Ф.И.О. заявителя, расшифровка</w:t>
      </w:r>
      <w:r w:rsidRPr="003615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подписи)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6155D" w:rsidRPr="0036155D" w:rsidRDefault="0036155D" w:rsidP="0036155D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Документы приняты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</w:t>
      </w:r>
      <w:r w:rsidRPr="0036155D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6155D" w:rsidRPr="0036155D" w:rsidRDefault="0036155D" w:rsidP="0036155D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15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ind w:left="1360"/>
        <w:rPr>
          <w:rFonts w:ascii="Times New Roman" w:eastAsia="Times New Roman" w:hAnsi="Times New Roman" w:cs="Times New Roman"/>
          <w:sz w:val="16"/>
        </w:rPr>
      </w:pPr>
      <w:r w:rsidRPr="0036155D">
        <w:rPr>
          <w:rFonts w:ascii="Times New Roman" w:eastAsia="Times New Roman" w:hAnsi="Times New Roman" w:cs="Times New Roman"/>
          <w:sz w:val="16"/>
        </w:rPr>
        <w:t>(расшифровка фамилии)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36" w:after="0" w:line="240" w:lineRule="auto"/>
        <w:ind w:left="116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E3FA" wp14:editId="54D5CFFA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выдать лично;</w:t>
      </w: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9898B7" wp14:editId="5E2777B9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F" w:rsidRDefault="00D2003F" w:rsidP="0036155D">
                            <w:pPr>
                              <w:pStyle w:val="a3"/>
                              <w:spacing w:line="266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D2003F" w:rsidRDefault="00D2003F" w:rsidP="0036155D">
                      <w:pPr>
                        <w:pStyle w:val="a3"/>
                        <w:spacing w:line="266" w:lineRule="exact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ECD8" wp14:editId="5C12DEE0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почте (указать почтовый адрес);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FD315B" wp14:editId="3E5B652C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3F" w:rsidRDefault="00D2003F" w:rsidP="0036155D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D2003F" w:rsidRDefault="00D2003F" w:rsidP="0036155D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451F27" wp14:editId="1DC8F0AA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25166131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электронной почте (указать адрес электронной почты);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6155D" w:rsidRPr="0036155D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36155D" w:rsidRPr="0036155D" w:rsidRDefault="0036155D" w:rsidP="0036155D">
      <w:pPr>
        <w:widowControl w:val="0"/>
        <w:autoSpaceDE w:val="0"/>
        <w:autoSpaceDN w:val="0"/>
        <w:spacing w:before="80" w:after="0" w:line="240" w:lineRule="auto"/>
        <w:ind w:left="116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C566E6" wp14:editId="700967C8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251648000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F68E1" wp14:editId="1CC75815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97" w:right="15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AD707" wp14:editId="3767E044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 (для заявителей, ранее зарегистрированных в ЕСИА)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рошу произвести регистрацию в ЕСИА на интернет-портале </w:t>
      </w:r>
      <w:hyperlink r:id="rId17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>www.gosuslugi.ru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(в ЕСИА)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льного т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льном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те:</w:t>
      </w:r>
      <w:r w:rsidRPr="00361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pacing w:val="-3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tabs>
          <w:tab w:val="left" w:pos="384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6155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(если имеется)</w:t>
      </w:r>
    </w:p>
    <w:p w:rsidR="0036155D" w:rsidRPr="0036155D" w:rsidRDefault="0036155D" w:rsidP="0036155D">
      <w:pPr>
        <w:widowControl w:val="0"/>
        <w:tabs>
          <w:tab w:val="left" w:pos="8090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Федерация/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365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35770" wp14:editId="2C0E2926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(наименование иностранного государства)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2353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серия, номер -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 xml:space="preserve">  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6" w:right="-1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4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одр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333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p w:rsidR="0036155D" w:rsidRDefault="0036155D"/>
    <w:sectPr w:rsidR="0036155D" w:rsidSect="0036155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2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E9"/>
    <w:rsid w:val="00210F5E"/>
    <w:rsid w:val="0036155D"/>
    <w:rsid w:val="0039588F"/>
    <w:rsid w:val="004C3BE9"/>
    <w:rsid w:val="00512B48"/>
    <w:rsid w:val="00A4427E"/>
    <w:rsid w:val="00A57E7C"/>
    <w:rsid w:val="00AC78AA"/>
    <w:rsid w:val="00BA393A"/>
    <w:rsid w:val="00D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9357</Words>
  <Characters>53337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2021-04-08T05:22:00Z</dcterms:created>
  <dcterms:modified xsi:type="dcterms:W3CDTF">2021-04-09T04:32:00Z</dcterms:modified>
</cp:coreProperties>
</file>